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44" w:rsidRDefault="00501144" w:rsidP="001D7442">
      <w:pPr>
        <w:spacing w:after="0" w:line="240" w:lineRule="auto"/>
        <w:ind w:firstLine="708"/>
        <w:jc w:val="center"/>
        <w:rPr>
          <w:rFonts w:ascii="Times New Roman" w:hAnsi="Times New Roman"/>
          <w:sz w:val="28"/>
          <w:szCs w:val="28"/>
        </w:rPr>
      </w:pPr>
      <w:r>
        <w:rPr>
          <w:rFonts w:ascii="Times New Roman" w:hAnsi="Times New Roman"/>
          <w:sz w:val="28"/>
          <w:szCs w:val="28"/>
        </w:rPr>
        <w:t>ДОКЛАД</w:t>
      </w:r>
    </w:p>
    <w:p w:rsidR="00501144" w:rsidRDefault="00501144" w:rsidP="00D22E13">
      <w:pPr>
        <w:spacing w:after="0" w:line="240" w:lineRule="auto"/>
        <w:ind w:firstLine="708"/>
        <w:jc w:val="both"/>
        <w:rPr>
          <w:rFonts w:ascii="Times New Roman" w:hAnsi="Times New Roman"/>
          <w:sz w:val="28"/>
          <w:szCs w:val="28"/>
        </w:rPr>
      </w:pP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2012 году  муниципальная система образования была включена  в реализацию федерального проекта по модернизации системы общего образования. В этот период  через участие  в краевых,  окружных муниципальных мероприятиях происходила корректировка  и уточнение задач,  позволяющих  определить границы функционирования  и развития муниципальной системы образования на  ближайший период.</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Первым значимым событием для  педагогического  сообщества стал переход  на  новую систему оплаты  труда. Сжатые сроки формирования нормативной базы и  проведения  тарификаций, вызвали  непонимание  предназначения НСОТ  и непринятие  механизмов  распределения  компенсаций выплат  и стимулирующих надбавок. В значительной  степени  напряжение снял межмуниципальный семинар, который проводился специалистами Министерства образования  и науки Красноярского края, на базе нашего района. В качестве инструментария управленцы  и специалисты экономического отдела получили методические рекомендации, произошел обмен опыта  различных территорий, появилось  понимание принципов  стимулирования результатов  высокопрофессиональной  деятельности учителя.</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После проведения многочисленных консультаций в образовательных учреждениях было выработано  управленческое решение  об организации  муниципального  мониторинга распределения  выплат стимулирующего характера. Ежемесячно по каждому учреждению  и по муниципалитету в целом отслеживалась  доля выплат направленных  на обеспечение муниципальных  приоритетов: это</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-организация  проектной  и исследовательской деятельности учащихся;</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-создание творческой  образовательной  среда для одаренных  школьников;</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-качество успеваемости по  результатам  независимой оценки;</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-освоение и использование современных  технологий в обучении и воспитании.</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-руководство методическими объединениями, работа в  муниципальных проектах, творческих, экспертных группах.</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Результаты мониторинга,  муниципального контроля, анализ обращений педагогов, собеседование с руководителями школ позволяют сделать основанные выводы:</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-только 15-20%  стимулирующих выплат направлены на обеспечение муниципальных приоритетов, высоких достижений, поддержку уникальности педагогических практик;</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 сформировавшийся в ОУ  порядок распределения выплат  стимулирующего характера зачастую не регламентирован и  отдан на решение  школьных комиссий; считаю в  такой ситуации руководитель утрачивает  рычаги управления развитием ОУ;</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-педагогические коллективы удерживают стереотипы старой  системы оплаты труда,  пытаясь распределить  стимулирующий фонд между всеми членами педагогического коллектива в равных долях, и как следствие нет учителей заработная плата которых  существенно превышает уровень средней  по району.</w:t>
      </w:r>
    </w:p>
    <w:p w:rsidR="00501144" w:rsidRPr="001D7442" w:rsidRDefault="00501144" w:rsidP="00D22E13">
      <w:pPr>
        <w:spacing w:after="0" w:line="240" w:lineRule="auto"/>
        <w:jc w:val="both"/>
        <w:rPr>
          <w:rFonts w:ascii="Times New Roman" w:hAnsi="Times New Roman"/>
          <w:sz w:val="32"/>
          <w:szCs w:val="32"/>
        </w:rPr>
      </w:pP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В предстоящем учебном году  руководителям ОУ, педагогическим коллективам  необходимо в полном объёме обеспечить реализацию принципов  введения новой системы оплаты труда.</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 xml:space="preserve">Критерии положения  о распределении стимулирующего фонда привести в соответствие  с задачами  программы развития муниципальной системы образования, при этом с учетом лишения всех участников образовательного процесса. </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Необходимо  увеличить  долю выплат по муниципальным  приоритетам.</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Прослеживается целесообразность  стимулирования  системной результативной деятельности  учителя, оценку которой проводить не  каждый месяц, а  за более  продолжительный период ( пол года, год).</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 В июле 2012  года на новую систему   оплаты труда  перешли  детские сады. Создавая нормативную базу, запуская новые механизмы стимулирования работников дошкольных учреждений, стоит  использовать  появившийся опыт,  учитывая специфику своей деятельности.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2011  году все школы района  преступили к реализации  федеральных образовательных стандартов начального общего образования. Благодаря предварительной работе,  которая была организована  отделом образования, межшкольным методическим центром,  руководителями общеобразовательных  школ   система  образования  была подготовлена без срывов приступить к  реализации поставленных  задач. Все педагоги, которые  принимали первоклассников,  прошли курсовую  подготовку, в ОУ  была создана необходимая нормативная база. Директора  в опережающем режиме обеспечивали образовательный процесс необходимыми наглядными пособиями, оборудовали автоматизированные  рабочие места учителя. В настоящее время поступили  инвариантные комплекты оборудования для  начальной  школы,  включающие в себя  интерактивные доски, ноутбуки, электронные микроскопы, программное обеспечение. Кроме  этого  каждое ОУ  получило возможность приобрести  необходимое оборудование по индивидуальным заказам.</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ab/>
        <w:t>Процесс перехода на новые стандарты отслеживался в течение всего  учебного года. Диагностический контроль преследовал  следующие цели:</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-оценивать уровень готовности ОУ к введению ФГОС,  выявит  позитивные педагогические  практики, увидеть проблемы системного характера  и  обозначить управленческие решения, подготовить  методический инструментарий  для анализа.</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Особо хочется отметить  руководителей Челноковской, Талажанской, Галанинской, Пискуновской основных школ,  Вороковской, Мокрушиснкой, Момотовской средних школ, Пятковской начальной школы по созданию условий для  внедрения стандартов.</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Эксперты, посещавшие уроки учителей выявили общую для нашей  муниципальной системы проблему низкого уровня владения современными педагогическими  технологиями,  деятельностного подхода.</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В то же время,  методический анализ  видеофрагментов  уроков позволяет увидеть  практики,  отвечающие концепции ФГОС.</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ab/>
        <w:t>Они присутствуют в работе:</w:t>
      </w:r>
    </w:p>
    <w:tbl>
      <w:tblPr>
        <w:tblW w:w="0" w:type="auto"/>
        <w:tblLook w:val="00A0"/>
      </w:tblPr>
      <w:tblGrid>
        <w:gridCol w:w="3936"/>
        <w:gridCol w:w="5635"/>
      </w:tblGrid>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Муравьевой </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Гульсум Абдурахмановны</w:t>
            </w:r>
          </w:p>
        </w:tc>
        <w:tc>
          <w:tcPr>
            <w:tcW w:w="5635" w:type="dxa"/>
          </w:tcPr>
          <w:p w:rsidR="00501144" w:rsidRPr="00AB60F1" w:rsidRDefault="00501144" w:rsidP="00AB60F1">
            <w:pPr>
              <w:spacing w:after="0" w:line="240" w:lineRule="auto"/>
              <w:jc w:val="both"/>
              <w:rPr>
                <w:rFonts w:ascii="Times New Roman" w:hAnsi="Times New Roman"/>
                <w:sz w:val="32"/>
                <w:szCs w:val="32"/>
              </w:rPr>
            </w:pP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       учителя Челноковской школы;</w:t>
            </w:r>
          </w:p>
          <w:p w:rsidR="00501144" w:rsidRPr="00AB60F1" w:rsidRDefault="00501144" w:rsidP="00AB60F1">
            <w:pPr>
              <w:spacing w:after="0" w:line="240" w:lineRule="auto"/>
              <w:jc w:val="both"/>
              <w:rPr>
                <w:rFonts w:ascii="Times New Roman" w:hAnsi="Times New Roman"/>
                <w:sz w:val="32"/>
                <w:szCs w:val="32"/>
              </w:rPr>
            </w:pPr>
          </w:p>
        </w:tc>
      </w:tr>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Жвырбля </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Елены Евгеньевны</w:t>
            </w:r>
          </w:p>
        </w:tc>
        <w:tc>
          <w:tcPr>
            <w:tcW w:w="5635" w:type="dxa"/>
          </w:tcPr>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     </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       учителя Галанинской школы</w:t>
            </w:r>
          </w:p>
        </w:tc>
      </w:tr>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Саплевой </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Анны Ивановны</w:t>
            </w:r>
          </w:p>
        </w:tc>
        <w:tc>
          <w:tcPr>
            <w:tcW w:w="5635" w:type="dxa"/>
          </w:tcPr>
          <w:p w:rsidR="00501144" w:rsidRPr="00AB60F1" w:rsidRDefault="00501144" w:rsidP="00AB60F1">
            <w:pPr>
              <w:spacing w:after="0" w:line="240" w:lineRule="auto"/>
              <w:jc w:val="both"/>
              <w:rPr>
                <w:rFonts w:ascii="Times New Roman" w:hAnsi="Times New Roman"/>
                <w:sz w:val="32"/>
                <w:szCs w:val="32"/>
              </w:rPr>
            </w:pP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      </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учителя Мокрушинской школы</w:t>
            </w:r>
          </w:p>
        </w:tc>
      </w:tr>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p>
        </w:tc>
        <w:tc>
          <w:tcPr>
            <w:tcW w:w="5635" w:type="dxa"/>
          </w:tcPr>
          <w:p w:rsidR="00501144" w:rsidRPr="00AB60F1" w:rsidRDefault="00501144" w:rsidP="00AB60F1">
            <w:pPr>
              <w:spacing w:after="0" w:line="240" w:lineRule="auto"/>
              <w:jc w:val="both"/>
              <w:rPr>
                <w:rFonts w:ascii="Times New Roman" w:hAnsi="Times New Roman"/>
                <w:sz w:val="32"/>
                <w:szCs w:val="32"/>
              </w:rPr>
            </w:pPr>
          </w:p>
        </w:tc>
      </w:tr>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 xml:space="preserve">Кайзер </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Галины Фаритовны</w:t>
            </w:r>
          </w:p>
        </w:tc>
        <w:tc>
          <w:tcPr>
            <w:tcW w:w="5635" w:type="dxa"/>
          </w:tcPr>
          <w:p w:rsidR="00501144" w:rsidRPr="00AB60F1" w:rsidRDefault="00501144" w:rsidP="00AB60F1">
            <w:pPr>
              <w:spacing w:after="0" w:line="240" w:lineRule="auto"/>
              <w:jc w:val="both"/>
              <w:rPr>
                <w:rFonts w:ascii="Times New Roman" w:hAnsi="Times New Roman"/>
                <w:sz w:val="32"/>
                <w:szCs w:val="32"/>
              </w:rPr>
            </w:pP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учителя  Казачинской школы</w:t>
            </w:r>
          </w:p>
          <w:p w:rsidR="00501144" w:rsidRPr="00AB60F1" w:rsidRDefault="00501144" w:rsidP="00AB60F1">
            <w:pPr>
              <w:spacing w:after="0" w:line="240" w:lineRule="auto"/>
              <w:jc w:val="both"/>
              <w:rPr>
                <w:rFonts w:ascii="Times New Roman" w:hAnsi="Times New Roman"/>
                <w:sz w:val="32"/>
                <w:szCs w:val="32"/>
              </w:rPr>
            </w:pPr>
          </w:p>
        </w:tc>
      </w:tr>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Кротовой</w:t>
            </w: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Людмилы Александровны</w:t>
            </w:r>
          </w:p>
        </w:tc>
        <w:tc>
          <w:tcPr>
            <w:tcW w:w="5635" w:type="dxa"/>
          </w:tcPr>
          <w:p w:rsidR="00501144" w:rsidRPr="00AB60F1" w:rsidRDefault="00501144" w:rsidP="00AB60F1">
            <w:pPr>
              <w:spacing w:after="0" w:line="240" w:lineRule="auto"/>
              <w:jc w:val="both"/>
              <w:rPr>
                <w:rFonts w:ascii="Times New Roman" w:hAnsi="Times New Roman"/>
                <w:sz w:val="32"/>
                <w:szCs w:val="32"/>
              </w:rPr>
            </w:pPr>
          </w:p>
          <w:p w:rsidR="00501144" w:rsidRPr="00AB60F1" w:rsidRDefault="00501144" w:rsidP="00AB60F1">
            <w:pPr>
              <w:spacing w:after="0" w:line="240" w:lineRule="auto"/>
              <w:jc w:val="both"/>
              <w:rPr>
                <w:rFonts w:ascii="Times New Roman" w:hAnsi="Times New Roman"/>
                <w:sz w:val="32"/>
                <w:szCs w:val="32"/>
              </w:rPr>
            </w:pPr>
            <w:r w:rsidRPr="00AB60F1">
              <w:rPr>
                <w:rFonts w:ascii="Times New Roman" w:hAnsi="Times New Roman"/>
                <w:sz w:val="32"/>
                <w:szCs w:val="32"/>
              </w:rPr>
              <w:t>учителя Рождественской школы</w:t>
            </w:r>
          </w:p>
        </w:tc>
      </w:tr>
      <w:tr w:rsidR="00501144" w:rsidRPr="00AB60F1" w:rsidTr="00AB60F1">
        <w:tc>
          <w:tcPr>
            <w:tcW w:w="3936" w:type="dxa"/>
          </w:tcPr>
          <w:p w:rsidR="00501144" w:rsidRPr="00AB60F1" w:rsidRDefault="00501144" w:rsidP="00AB60F1">
            <w:pPr>
              <w:spacing w:after="0" w:line="240" w:lineRule="auto"/>
              <w:jc w:val="both"/>
              <w:rPr>
                <w:rFonts w:ascii="Times New Roman" w:hAnsi="Times New Roman"/>
                <w:sz w:val="32"/>
                <w:szCs w:val="32"/>
              </w:rPr>
            </w:pPr>
          </w:p>
        </w:tc>
        <w:tc>
          <w:tcPr>
            <w:tcW w:w="5635" w:type="dxa"/>
          </w:tcPr>
          <w:p w:rsidR="00501144" w:rsidRPr="00AB60F1" w:rsidRDefault="00501144" w:rsidP="00AB60F1">
            <w:pPr>
              <w:spacing w:after="0" w:line="240" w:lineRule="auto"/>
              <w:jc w:val="both"/>
              <w:rPr>
                <w:rFonts w:ascii="Times New Roman" w:hAnsi="Times New Roman"/>
                <w:sz w:val="32"/>
                <w:szCs w:val="32"/>
              </w:rPr>
            </w:pPr>
          </w:p>
        </w:tc>
      </w:tr>
    </w:tbl>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процессе деятельности   по подготовке и реализации ФГОС  сформировалась управленческая  структура, для обеспечения  системного сопровождения этого  приоритетного направления. Функциональность  данной  структуры позволяет  уже сейчас  начать  качественную подготовку  условия для введения ФГОС  в основной и средне школе.</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Это  отражается в целевой подготовке учителей,  управленческих команд, педагогических коллективов.</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Меняется содержание заявок  на  повышение  квалификации.  Сегодня востребованы курсы, связанные с формированием деятельности подхода,  исследовательских компетентностей. Коллектив Рождественской школы оформляет  статус муниципальной инновационной  площадки способа диалектического обучения. Управленческая  команда Галанинской школы  прошла подготовку  по  проблемам формирования  пространства внеурочной деятельности для  реализации  стандартов основного  общего образования.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Несмотря на эти  заделы,  технологии деятельностного подхода в  наших школах  приживаются слабо, либо  отторгаются  педагогическими коллективами.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Упала активность  Вороковской школы,  площадки индивидуально-ориентированного способа обучения, прервана работа  по освоению технологии коллективных учебных занятий  в Мокрушинской  СОШ.  Непонятна позиция  базовой Казачинской средней школы,  которая  не предпринимает  попыток  для  создания профессионального педагогического  опыта,  являющегося ресурсной методической  базой для  всего района.</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Слабый уровень владения  педагогическими технологиями  современного урока,  является одной из основных причин низких результатов независимой оценки знаний  учащихся.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Второй причиной  низких результатов обучения  является низкий  уровень  индивидуализации образовательного процесса.</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Вариативная часть   учебных планов практически полностью используется для  усиления федерального компонента, на  классно-урочную систему обучения.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Образовательный процесс  в школах организован так, что  не позволяет  ребенку реализовать  индивидуальную  образовательную программу.</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Слабо используются возможности НСОТ для   обеспечения вариативности, создания мест организации групповой и  индивидуальной работы.</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Контрольно-измерительные  материалы, которые  используются на всех  этапах независимого  контроля, в большей степени содержат  задания</w:t>
      </w:r>
      <w:r>
        <w:rPr>
          <w:rFonts w:ascii="Times New Roman" w:hAnsi="Times New Roman"/>
          <w:sz w:val="32"/>
          <w:szCs w:val="32"/>
        </w:rPr>
        <w:t>,</w:t>
      </w:r>
      <w:r w:rsidRPr="001D7442">
        <w:rPr>
          <w:rFonts w:ascii="Times New Roman" w:hAnsi="Times New Roman"/>
          <w:sz w:val="32"/>
          <w:szCs w:val="32"/>
        </w:rPr>
        <w:t xml:space="preserve">  требующие  от ребенка сфомированности умений применять полученные знания  в нестандартных условиях.</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Анализ результатов итоговой  аттестации выпускников  наглядно демонстрирует  низкий уровень сфомированности этой компетентности.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то же время очевидным остается факт, что  индивидуальная работа позволяет  достигнуть более высоких результатов. Это прослеживается  на примере   выполнения  учащимися 4х классов краевых контрольных работ.</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В тех школах, в которых  в замерах принимало участие малое количество  детей 1-2 ребенка (Пятковская начальная кола, Мокрушинская и Дудовская школы) по всем трем срезам показали результаты значительно выше, чем в среднем по краю.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Особое внимание  обращаем  на результаты замеров  сформированности  общеучебных умений. Только отдельные школы демонстрируют результаты выше средних по краю.</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Это показатель того, насколько мы готовы сегодня  качественно  обеспечить  реализацию федеральных  образовательных стандартов.</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Руководителям образовательных учреждений необходимо поставить перед собой задачу системного управления  учебным процессом, через работу с педагогическими кадрами, организацию внутришкольного мониторинга  и контроля, совершенствование методической службы. Объектом контроля  должен стать компетентностный подход  в работе учителя.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Низкий рейтинг результатов краевых контрольных работ  не позволяет обеспечить  успешный стандарт учащимся  при переходе в основную школу.</w:t>
      </w:r>
    </w:p>
    <w:p w:rsidR="00501144"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9 классах, на государственной итоговой  аттестации, результаты становятся просто  провальными.  41 % детей не  справились с экзаменационной работой по математике, очень низкие результаты в Казачинской школе-22 двойки (46 %), Мокрушинская школа 6 двоек (60%), Отношинская  школа 8 двоек (67%), Вороковская  школа 3 двойки (43 %),  Талажанская школа (73%). Только 13 % из 120 выпускников 9 классов получили четверки и пятерки.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По русскому языку  в целом  результаты лучше, чем по математике. Достаточно высокое качество  выполнения экзаменационной работы (45 %) позволяет заметить разрыв в уровне подготовки  по русскому языку и математике у одних и тех же детей.</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то же время 15 %  девятиклассников, не преодолели  минимальный барьер по русскому языку.</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Анализ результатов ГИА по всем предметам позволил установить  факт несоответствия годовых оценок,  которые получают дети в школе и  результатов независимой оценки.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Это достаточно тревожный сигнал для педагогического сообщества.</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А если на эти результаты наложить стандарты требований, которые  предъявляют при аккредитации  службы по контролю, то  Талажанская, Рождественская, Мокрушинская  школы  с высокой долей вероятности не прошли бы аккредитацию.</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Комплексная оценка результатов ГИА в 2012 г. выявила ряд школ, которые обеспечили  неплохую подготовку выпускников по всем предметам Казанская, Пискуновская, Галанинская, Челноковская школы.</w:t>
      </w:r>
    </w:p>
    <w:p w:rsidR="00501144"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Основное  содержание анализа результатов ЕГЭ  прозвучало в докладе Неудахиной Татьяны Сергеевны методиста Межшкольного методического  центра. Тем не менее, хочется сделать акцент на том, что  в крае изменяются подходы к анализу  показателей результатов ЕГЭ и комплексному  рейтингованию школ и муниципалитетов.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Предложенный инструментарий позволяет  получить объективную картину  по  динамике  индекса среднего балла в муниципалитете по   сравнению с прошлым годом. Индекс  рассчитывается как соотношение  среднего балла  в муниципалитете к значению  среднего в России</w:t>
      </w:r>
    </w:p>
    <w:p w:rsidR="00501144" w:rsidRPr="001D7442" w:rsidRDefault="00501144" w:rsidP="00D22E13">
      <w:pPr>
        <w:spacing w:after="0" w:line="240" w:lineRule="auto"/>
        <w:ind w:firstLine="708"/>
        <w:jc w:val="both"/>
        <w:rPr>
          <w:rFonts w:ascii="Times New Roman" w:hAnsi="Times New Roman"/>
          <w:sz w:val="32"/>
          <w:szCs w:val="32"/>
        </w:rPr>
      </w:pPr>
    </w:p>
    <w:p w:rsidR="00501144"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На графике вы видите,  что результаты и по математике и по русскому  языку  в этом году хуже, чем в предыдущем. Границы высоких баллов тоже регламентируется федеральными нормами. </w:t>
      </w:r>
      <w:r>
        <w:rPr>
          <w:rFonts w:ascii="Times New Roman" w:hAnsi="Times New Roman"/>
          <w:sz w:val="32"/>
          <w:szCs w:val="32"/>
        </w:rPr>
        <w:tab/>
      </w:r>
    </w:p>
    <w:p w:rsidR="00501144" w:rsidRDefault="00501144" w:rsidP="00D22E13">
      <w:pPr>
        <w:spacing w:after="0" w:line="240" w:lineRule="auto"/>
        <w:ind w:firstLine="708"/>
        <w:jc w:val="both"/>
        <w:rPr>
          <w:rFonts w:ascii="Times New Roman" w:hAnsi="Times New Roman"/>
          <w:sz w:val="32"/>
          <w:szCs w:val="32"/>
        </w:rPr>
      </w:pP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На следующем слайде представлено соотношение  максимальных баллов по  всем предметам в муниципалитете в сравнении  с нижней границей высоких результатов. </w:t>
      </w:r>
      <w:r w:rsidRPr="001D7442">
        <w:rPr>
          <w:rFonts w:ascii="Times New Roman" w:hAnsi="Times New Roman"/>
          <w:sz w:val="32"/>
          <w:szCs w:val="32"/>
        </w:rPr>
        <w:tab/>
        <w:t>Таблица демонстрирует, что только  по трем предметам у нас есть дети, которые показали высокие результаты: по обществознанию1 выпускник Момотовской СОШ, по математике 1 выпускник  Казачинской СОШ. По русскому языку высоких результатов достигли 9 выпускников Казачинской СОШ.</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Мы считаем это показатель высокопрофессиональной деятельности учителя Марченко Елены Николаевны.</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Управление качеством подготовки выпускников  являлось приоритетным направлением работы муниципальной системы образования в 2011-2012 учебном году.</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В течение всего года Отделом образования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-удерживался  на контроле вопрос качества  преподавания математики: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-прошла серия  семинаров с  привлечением краевого и муниципального ресурса;</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организован процессуальный мониторинг качества подготовки  выпускников;</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проводились пробные  экзамены в  формате ГИА и ЕГЭ с   последующим анализом результатов.</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Результаты входных и промежуточных диагностических работ,  итоги пробных экзаменов вызвали необходимость организации и осуществления фронтальной контрольной проверки школ.</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Озвучу  основные выводы,  полученные в ходе контроля:</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 в школах не складывается административная система  контроля;</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 объектами контроля  являются результаты  обученности учеников, при этом учитель, его методическая подготовка, технологичность процесса обучения остаются закрытыми.</w:t>
      </w:r>
    </w:p>
    <w:p w:rsidR="00501144" w:rsidRPr="001D7442" w:rsidRDefault="00501144" w:rsidP="00D22E13">
      <w:pPr>
        <w:spacing w:after="0" w:line="240" w:lineRule="auto"/>
        <w:jc w:val="both"/>
        <w:rPr>
          <w:rFonts w:ascii="Times New Roman" w:hAnsi="Times New Roman"/>
          <w:sz w:val="32"/>
          <w:szCs w:val="32"/>
        </w:rPr>
      </w:pPr>
      <w:r w:rsidRPr="001D7442">
        <w:rPr>
          <w:rFonts w:ascii="Times New Roman" w:hAnsi="Times New Roman"/>
          <w:sz w:val="32"/>
          <w:szCs w:val="32"/>
        </w:rPr>
        <w:t>- внутришкольный контроль не  является механизмом  диагностики и  управления  образовательным процессом, а значит в школах не создается платформа для новой  системы оценки качества  образования.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Еще один важный вывод был зафиксирован экспертами краевого семинара «Продуктивные  педагогические и управленческие практики  подготовки к ЕГЭ», который в феврале 2012 г.  проводился на базе Казачинской СОШ.</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Учителя затрудняются  вычленить эффекты собственной педагогической  практики.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Управленческие команды не внедряют программно-проектный подход,  обеспечивающий достижение  планируемых результатов.</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Эти выводы определяют рамки для постановки методических и управленческих  задач  на предстоящий период.</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Без их решения невозможно достигнуть  положительной  динамики качества результатов работы муниципальной системы образования в целом. </w:t>
      </w:r>
    </w:p>
    <w:p w:rsidR="00501144" w:rsidRPr="001D7442" w:rsidRDefault="00501144" w:rsidP="00D22E13">
      <w:pPr>
        <w:spacing w:after="0" w:line="240" w:lineRule="auto"/>
        <w:ind w:firstLine="708"/>
        <w:jc w:val="both"/>
        <w:rPr>
          <w:rFonts w:ascii="Times New Roman" w:hAnsi="Times New Roman"/>
          <w:sz w:val="32"/>
          <w:szCs w:val="32"/>
        </w:rPr>
      </w:pP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Поэтому стоит еще раз оценить позиции муниципальной системы образования в краевом комплексном рейтинге. Мы явно отстаем в рейтинге по результатам обучения. В то же время нельзя не отметить высокий рейтинг внеучебных достижений. И это приятно. Думаю, что педагогическому сообществу нужно еще раз проанализировать причины неудач и мобилизировать ресурсы по каждому предмету учебного плана.</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Одним из важных механизмов стандартизации муниципальной системы образования является приведение условий ОУ в соответствие с государственными нормами. В этом году при формировании заявок на участие в конкурсных мероприятиях краевой целевой программы «Обеспечение безопасности жизнедеятельности на 2010-2012г» была проведена детальная инвентаризация предписаний надзорных органов, определены проблемные зоны, установлены объемы финансирования.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Нам удалось устранить все замечания в части: оснащения оборудования пищеблоков школьных столовых; ремонта систем внутреннего водоснабжения и канализирования, замены электропроводки; обустройства путей эвакуации.</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Не акцентируя внимания на трудностях, ответственно могу сказать, что все ОУ готовы к началу учебного года.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В традициях педагогических советов – обсуждать проблемы дошкольного образования. В этом году мы решали две проблемы: подготовка к переходу на Федеральные Государственные Требования и снижение очередности в муниципальных детских садах. Состояние работы над «Созданием условий для реализации ФГТ» уже было озвучено предыдущим докладчиком. Социальное напряжение вызывает проблема очередности в детские сады. В возрастной группе от 3 до 7 лет в услугах дошкольного образования нуждается _136 детей. Основная очередность создалась в крупных населенных пунктах, в селах Галанино,  (17) и Казачинское ( 110). Это порождает многочисленные обращения граждан, жалобы в вышестоящие инстанции. К сожалению, решить эту проблему на муниципальном уровне не представляется возможным. Необходимо рассматривать возможность развития системы дошкольного образования через участие в краевых программах, подготовку условий в общеобразовательных школах, создания групп кратковременного пребывания, смещение акцентов комплектования от групп одной возрастной нормы к разновозрастным и пропаганду других вариативных форм дошкольного образования.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Несмотря на все проблемы и трудности, муниципальная система образования в прошедшем учебном году сделала достаточно много для того чтобы соответствовать стандартам предъявляемым обществом и государством. Серьезные продвижения можно зафиксировать в выполнении стандартов условий образовательного процесса за счет личной включенности руководителей Дудовской, Казанской, Пискуновской, Матвеевской школ. Руководители образовательных учреждений системно решают задачу безопасных комфортных условий: установлены тревожные кнопки и системы видеоснабжения. Обновляется школьная мебель и учебное оборудование, модернизируются школьные дворы и спортивные площадки. В этом году впервые был проведен муниципальный смотр-конкурс учебных кабинетов. Школы активно демонстрировали возможности использования современного оборудования в образовательном процессе.</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Победителем конкурса признан кабинет химии Казачинской СОШ, заведующий кабинетом  -  Карелина Татьяна Геннадьевна.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В работе с педагогическими кадрами тоже имеются позитивные тенденции и достижения.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За  2 года реализации программы конкурсного отбора молодых учителей на замещение вакансий в школы района прибыли 12 специалистов. Благодаря усилиям руководителей Вороковской школы – Варыгина Вера Ивановна и Талажанской  школы Поперекова Екатерина Ивановна, главы Талажанского сельсовета  Рыбникова Валерия Владимировича, система образования становится привлекательной для конкурсантов. В этом году по количеству поданных заявок наш район вошел в пятерку наиболее востребованных территорий.</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Традиции конкурсного движения учителей отмечены ярким результатом. Победитель муниципального конкурса «Учитель года» Мингазутдинова Павлина Ивановна, учитель русского языка Момотовской СОШ вошла в 20 лучших учителей края и достойно представляла Казачинский район на региональном уровне.</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 xml:space="preserve"> Думаю эти достиения должны стать стимулом для плодотворной работы и формирования успешных стратегий. У нас достаточно ресурса для постановки новых приоритетных задач. </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Уважаемые участники педагогического совета, сегодня в течение дня с нами работала группа по разработке резолюции. Проект резолюции мы выставим на сайте ОО. На августовских педагогических советах вы его сможете обсудить и проголосовать. Выписки из протоколов педсоветов с результатами голосования представить в ММЦ до 10 сентября.</w:t>
      </w:r>
    </w:p>
    <w:p w:rsidR="00501144" w:rsidRPr="001D7442" w:rsidRDefault="00501144" w:rsidP="00D22E13">
      <w:pPr>
        <w:spacing w:after="0" w:line="240" w:lineRule="auto"/>
        <w:ind w:firstLine="708"/>
        <w:jc w:val="both"/>
        <w:rPr>
          <w:rFonts w:ascii="Times New Roman" w:hAnsi="Times New Roman"/>
          <w:sz w:val="32"/>
          <w:szCs w:val="32"/>
        </w:rPr>
      </w:pPr>
      <w:r w:rsidRPr="001D7442">
        <w:rPr>
          <w:rFonts w:ascii="Times New Roman" w:hAnsi="Times New Roman"/>
          <w:sz w:val="32"/>
          <w:szCs w:val="32"/>
        </w:rPr>
        <w:t>Я уверена, что вы в своих педагогических коллективах взвешенно отнесетесь к поставленным задачам, наметите пути и механизмы их решения в планах работы учреждения на 2012-2013 учебный год.</w:t>
      </w:r>
    </w:p>
    <w:p w:rsidR="00501144" w:rsidRPr="001D7442" w:rsidRDefault="00501144" w:rsidP="00D22E13">
      <w:pPr>
        <w:spacing w:after="0" w:line="240" w:lineRule="auto"/>
        <w:jc w:val="both"/>
        <w:rPr>
          <w:rFonts w:ascii="Times New Roman" w:hAnsi="Times New Roman"/>
          <w:sz w:val="32"/>
          <w:szCs w:val="32"/>
        </w:rPr>
      </w:pPr>
    </w:p>
    <w:p w:rsidR="00501144" w:rsidRPr="001D7442" w:rsidRDefault="00501144" w:rsidP="00D22E13">
      <w:pPr>
        <w:spacing w:after="0" w:line="240" w:lineRule="auto"/>
        <w:ind w:firstLine="708"/>
        <w:jc w:val="both"/>
        <w:rPr>
          <w:rFonts w:ascii="Times New Roman" w:hAnsi="Times New Roman"/>
          <w:sz w:val="32"/>
          <w:szCs w:val="32"/>
        </w:rPr>
      </w:pPr>
    </w:p>
    <w:sectPr w:rsidR="00501144" w:rsidRPr="001D7442" w:rsidSect="00DD1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B7F"/>
    <w:rsid w:val="000306D0"/>
    <w:rsid w:val="000D6E7A"/>
    <w:rsid w:val="00123AFD"/>
    <w:rsid w:val="0014288E"/>
    <w:rsid w:val="001B700E"/>
    <w:rsid w:val="001D5FFC"/>
    <w:rsid w:val="001D7442"/>
    <w:rsid w:val="001F2B70"/>
    <w:rsid w:val="0024200A"/>
    <w:rsid w:val="00260321"/>
    <w:rsid w:val="00274134"/>
    <w:rsid w:val="003144D7"/>
    <w:rsid w:val="00326404"/>
    <w:rsid w:val="00342890"/>
    <w:rsid w:val="003F6157"/>
    <w:rsid w:val="0040172B"/>
    <w:rsid w:val="004F7EF6"/>
    <w:rsid w:val="00501144"/>
    <w:rsid w:val="00574647"/>
    <w:rsid w:val="005C6C2E"/>
    <w:rsid w:val="00623196"/>
    <w:rsid w:val="00634563"/>
    <w:rsid w:val="006379C2"/>
    <w:rsid w:val="006767AC"/>
    <w:rsid w:val="00700FBC"/>
    <w:rsid w:val="00762B7F"/>
    <w:rsid w:val="007921FC"/>
    <w:rsid w:val="00796720"/>
    <w:rsid w:val="007A3109"/>
    <w:rsid w:val="007E60A9"/>
    <w:rsid w:val="008801DD"/>
    <w:rsid w:val="008D2133"/>
    <w:rsid w:val="008F21B5"/>
    <w:rsid w:val="00912B35"/>
    <w:rsid w:val="009423C8"/>
    <w:rsid w:val="00972245"/>
    <w:rsid w:val="009C1BB5"/>
    <w:rsid w:val="00A05C97"/>
    <w:rsid w:val="00A66F52"/>
    <w:rsid w:val="00A75436"/>
    <w:rsid w:val="00AB60F1"/>
    <w:rsid w:val="00B739D9"/>
    <w:rsid w:val="00BF3028"/>
    <w:rsid w:val="00C1522E"/>
    <w:rsid w:val="00C36E92"/>
    <w:rsid w:val="00C76A35"/>
    <w:rsid w:val="00C90CD4"/>
    <w:rsid w:val="00CB054D"/>
    <w:rsid w:val="00CE0532"/>
    <w:rsid w:val="00D22E13"/>
    <w:rsid w:val="00D50DD3"/>
    <w:rsid w:val="00D523AE"/>
    <w:rsid w:val="00D578AD"/>
    <w:rsid w:val="00D70A99"/>
    <w:rsid w:val="00DB1715"/>
    <w:rsid w:val="00DC3B0C"/>
    <w:rsid w:val="00DD1ADF"/>
    <w:rsid w:val="00E0202F"/>
    <w:rsid w:val="00E64898"/>
    <w:rsid w:val="00ED7306"/>
    <w:rsid w:val="00FF1E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78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746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377</TotalTime>
  <Pages>10</Pages>
  <Words>2803</Words>
  <Characters>15980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XP GAME 2010</cp:lastModifiedBy>
  <cp:revision>21</cp:revision>
  <cp:lastPrinted>2012-08-28T09:53:00Z</cp:lastPrinted>
  <dcterms:created xsi:type="dcterms:W3CDTF">2012-08-26T12:22:00Z</dcterms:created>
  <dcterms:modified xsi:type="dcterms:W3CDTF">2012-09-03T04:08:00Z</dcterms:modified>
</cp:coreProperties>
</file>